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jc w:val="center"/>
        <w:rPr>
          <w:rFonts w:ascii="Arial" w:hAnsi="Arial" w:eastAsia="宋体" w:cs="Arial"/>
          <w:b/>
          <w:bCs/>
          <w:sz w:val="30"/>
          <w:szCs w:val="30"/>
        </w:rPr>
      </w:pPr>
      <w:bookmarkStart w:id="12" w:name="_GoBack"/>
      <w:bookmarkEnd w:id="12"/>
      <w:r>
        <w:rPr>
          <w:rFonts w:hint="eastAsia" w:ascii="Arial" w:hAnsi="Arial" w:eastAsia="宋体" w:cs="Arial"/>
          <w:b/>
          <w:bCs/>
          <w:sz w:val="30"/>
          <w:szCs w:val="30"/>
        </w:rPr>
        <w:t>医疗器械</w:t>
      </w:r>
      <w:r>
        <w:rPr>
          <w:rFonts w:ascii="Arial" w:hAnsi="Arial" w:eastAsia="宋体" w:cs="Arial"/>
          <w:b/>
          <w:bCs/>
          <w:sz w:val="30"/>
          <w:szCs w:val="30"/>
        </w:rPr>
        <w:t>临床试验项目必备文件检查清单</w:t>
      </w:r>
    </w:p>
    <w:p>
      <w:pPr>
        <w:spacing w:after="0"/>
        <w:jc w:val="center"/>
        <w:rPr>
          <w:rFonts w:ascii="Arial" w:hAnsi="Arial" w:eastAsia="宋体" w:cs="Arial"/>
          <w:b/>
          <w:bCs/>
          <w:sz w:val="30"/>
          <w:szCs w:val="30"/>
        </w:rPr>
      </w:pPr>
    </w:p>
    <w:p>
      <w:pPr>
        <w:spacing w:after="0" w:line="360" w:lineRule="auto"/>
        <w:jc w:val="center"/>
        <w:rPr>
          <w:rFonts w:ascii="Arial" w:hAnsi="Arial" w:cs="Arial" w:eastAsiaTheme="minorEastAsia"/>
          <w:sz w:val="28"/>
          <w:szCs w:val="28"/>
        </w:rPr>
      </w:pPr>
      <w:r>
        <w:rPr>
          <w:rFonts w:hint="eastAsia" w:ascii="Arial" w:hAnsi="Arial" w:cs="Arial" w:eastAsiaTheme="minorEastAsia"/>
          <w:sz w:val="28"/>
          <w:szCs w:val="28"/>
        </w:rPr>
        <w:t>表1 临床试验准备阶段</w:t>
      </w:r>
    </w:p>
    <w:tbl>
      <w:tblPr>
        <w:tblStyle w:val="8"/>
        <w:tblW w:w="84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0"/>
        <w:gridCol w:w="3597"/>
        <w:gridCol w:w="720"/>
        <w:gridCol w:w="653"/>
        <w:gridCol w:w="987"/>
        <w:gridCol w:w="18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640" w:type="dxa"/>
            <w:vMerge w:val="restart"/>
            <w:tcBorders>
              <w:top w:val="single" w:color="auto" w:sz="4" w:space="0"/>
              <w:left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序号</w:t>
            </w:r>
          </w:p>
        </w:tc>
        <w:tc>
          <w:tcPr>
            <w:tcW w:w="3597" w:type="dxa"/>
            <w:vMerge w:val="restart"/>
            <w:tcBorders>
              <w:top w:val="single" w:color="auto" w:sz="4" w:space="0"/>
              <w:left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必备文件</w:t>
            </w:r>
          </w:p>
        </w:tc>
        <w:tc>
          <w:tcPr>
            <w:tcW w:w="2360" w:type="dxa"/>
            <w:gridSpan w:val="3"/>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质量检查结果*</w:t>
            </w:r>
          </w:p>
        </w:tc>
        <w:tc>
          <w:tcPr>
            <w:tcW w:w="1839" w:type="dxa"/>
            <w:vMerge w:val="restart"/>
            <w:tcBorders>
              <w:top w:val="single" w:color="auto" w:sz="4" w:space="0"/>
              <w:left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640" w:type="dxa"/>
            <w:vMerge w:val="continue"/>
            <w:tcBorders>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asciiTheme="minorEastAsia" w:hAnsiTheme="minorEastAsia" w:eastAsiaTheme="minorEastAsia"/>
                <w:sz w:val="21"/>
                <w:szCs w:val="21"/>
              </w:rPr>
            </w:pPr>
          </w:p>
        </w:tc>
        <w:tc>
          <w:tcPr>
            <w:tcW w:w="3597" w:type="dxa"/>
            <w:vMerge w:val="continue"/>
            <w:tcBorders>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asciiTheme="minorEastAsia" w:hAnsiTheme="minorEastAsia" w:eastAsiaTheme="minorEastAsia"/>
                <w:sz w:val="21"/>
                <w:szCs w:val="21"/>
              </w:rPr>
            </w:pP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有</w:t>
            </w: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无</w:t>
            </w: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不适用</w:t>
            </w:r>
          </w:p>
        </w:tc>
        <w:tc>
          <w:tcPr>
            <w:tcW w:w="1839" w:type="dxa"/>
            <w:vMerge w:val="continue"/>
            <w:tcBorders>
              <w:left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1</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获批的临床试验立项申请表（副本）</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2</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已签字的临床试验方案（含修订版）、病例报告表样本</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3</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研究者手册（注明版本号和版本日期）</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4</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提供给受试者的信息（样本）</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—知情同意书（包括所有适用的译文）</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—其他提供给受试者的任何书面资料</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—受试者的招募广告（若使用）</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5</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基于产品技术要求的产品检验报告</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6</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临床前研究相关资料</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7</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研究者签名的履历和其他的资格文件</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包括：</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经授权参与临床试验的医生、护士、药师、技师等研究人员签名的履历和其他资质证明</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8</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试验医疗器械的研制符合适用的医疗器械质量管理体系相关要求的声明</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9</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受试者保险的相关文件（若有）</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10</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伦理委员会对以下各项内容的书面审查、同意文件，具签名、注明日期（原件）</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—试验方案及其修订版</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—知情同意书</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—其他提供给受试者的任何书面资料</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—受试者的招募广告（若使用）</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—对受试者的补偿（若有）</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—伦理委员会其他审查，同意的文件（如病例报告表样本）</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11</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伦理委员会的人员组成（原件）</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12</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临床试验财务合同（原件）</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13</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参与临床试验各方之间签署的其他合同（原件），包括但不限于：</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—研究者和临床试验机构与申办者签署的CRC合同</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—研究者和临床试验机构与合同研究组织签署的合同</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—研究者和临床试验机构与第三方检测机构签署的合同</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14</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医疗器械临床试验批件</w:t>
            </w:r>
            <w:r>
              <w:rPr>
                <w:rFonts w:cs="Arial" w:asciiTheme="minorEastAsia" w:hAnsiTheme="minorEastAsia" w:eastAsiaTheme="minorEastAsia"/>
                <w:sz w:val="21"/>
                <w:szCs w:val="21"/>
              </w:rPr>
              <w:t>（若有）</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15</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cs="Arial" w:asciiTheme="minorEastAsia" w:hAnsiTheme="minorEastAsia" w:eastAsiaTheme="minorEastAsia"/>
                <w:sz w:val="21"/>
                <w:szCs w:val="21"/>
              </w:rPr>
              <w:t>药品监督管理部门临床试验备案文件</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16</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人类遗传资源审批申报相关文件（若有）</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17</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临床试验方案启动和培训签到表（原件）</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18</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临床试验方案启动和培训会议记录表（原件）</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19</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具PI签名的研究团队授权分工表（原件）</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20</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在试验方案中涉及的</w:t>
            </w:r>
            <w:bookmarkStart w:id="0" w:name="OLE_LINK7"/>
            <w:bookmarkStart w:id="1" w:name="OLE_LINK8"/>
            <w:r>
              <w:rPr>
                <w:rFonts w:hint="eastAsia" w:cs="Arial" w:asciiTheme="minorEastAsia" w:hAnsiTheme="minorEastAsia" w:eastAsiaTheme="minorEastAsia"/>
                <w:sz w:val="21"/>
                <w:szCs w:val="21"/>
              </w:rPr>
              <w:t>医学、实验室、专业技术操作和相关检测</w:t>
            </w:r>
            <w:bookmarkEnd w:id="0"/>
            <w:bookmarkEnd w:id="1"/>
            <w:r>
              <w:rPr>
                <w:rFonts w:hint="eastAsia" w:cs="Arial" w:asciiTheme="minorEastAsia" w:hAnsiTheme="minorEastAsia" w:eastAsiaTheme="minorEastAsia"/>
                <w:sz w:val="21"/>
                <w:szCs w:val="21"/>
              </w:rPr>
              <w:t>的参考值和参考值范围（若有）</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21</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医学、实验室、专业技术操作和相关检测的资质证明（若有）</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（资质认可证书或者资质认证证书或者已建立质量控制体系或者外部质量评价体系或者其他验证体系）</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22</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cs="Arial" w:asciiTheme="minorEastAsia" w:hAnsiTheme="minorEastAsia" w:eastAsiaTheme="minorEastAsia"/>
                <w:sz w:val="21"/>
                <w:szCs w:val="21"/>
              </w:rPr>
              <w:t>试验医疗器械</w:t>
            </w:r>
            <w:r>
              <w:rPr>
                <w:rFonts w:hint="eastAsia" w:cs="Arial" w:asciiTheme="minorEastAsia" w:hAnsiTheme="minorEastAsia" w:eastAsiaTheme="minorEastAsia"/>
                <w:sz w:val="21"/>
                <w:szCs w:val="21"/>
              </w:rPr>
              <w:t>/试剂</w:t>
            </w:r>
            <w:r>
              <w:rPr>
                <w:rFonts w:cs="Arial" w:asciiTheme="minorEastAsia" w:hAnsiTheme="minorEastAsia" w:eastAsiaTheme="minorEastAsia"/>
                <w:sz w:val="21"/>
                <w:szCs w:val="21"/>
              </w:rPr>
              <w:t>标签</w:t>
            </w:r>
            <w:r>
              <w:rPr>
                <w:rFonts w:hint="eastAsia" w:cs="Arial" w:asciiTheme="minorEastAsia" w:hAnsiTheme="minorEastAsia" w:eastAsiaTheme="minorEastAsia"/>
                <w:sz w:val="21"/>
                <w:szCs w:val="21"/>
              </w:rPr>
              <w:t>文本</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23</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cs="Arial" w:asciiTheme="minorEastAsia" w:hAnsiTheme="minorEastAsia" w:eastAsiaTheme="minorEastAsia"/>
                <w:sz w:val="21"/>
                <w:szCs w:val="21"/>
              </w:rPr>
              <w:t>试验医疗器械与试验相关物资的交接单</w:t>
            </w:r>
            <w:r>
              <w:rPr>
                <w:rFonts w:hint="eastAsia" w:cs="Arial" w:asciiTheme="minorEastAsia" w:hAnsiTheme="minorEastAsia" w:eastAsiaTheme="minorEastAsia"/>
                <w:sz w:val="21"/>
                <w:szCs w:val="21"/>
              </w:rPr>
              <w:t>（原件）</w:t>
            </w:r>
          </w:p>
        </w:tc>
        <w:tc>
          <w:tcPr>
            <w:tcW w:w="720" w:type="dxa"/>
            <w:tcBorders>
              <w:top w:val="single" w:color="auto" w:sz="4" w:space="0"/>
              <w:left w:val="single" w:color="auto" w:sz="4" w:space="0"/>
              <w:bottom w:val="single" w:color="auto" w:sz="4" w:space="0"/>
              <w:right w:val="single" w:color="auto" w:sz="4" w:space="0"/>
            </w:tcBorders>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24</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cs="Arial" w:asciiTheme="minorEastAsia" w:hAnsiTheme="minorEastAsia" w:eastAsiaTheme="minorEastAsia"/>
                <w:sz w:val="21"/>
                <w:szCs w:val="21"/>
              </w:rPr>
              <w:t>设盲试验的破盲程序（若有）</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25</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cs="Arial" w:asciiTheme="minorEastAsia" w:hAnsiTheme="minorEastAsia" w:eastAsiaTheme="minorEastAsia"/>
                <w:sz w:val="21"/>
                <w:szCs w:val="21"/>
              </w:rPr>
              <w:t>总随机表（若有）</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26</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cs="Arial" w:asciiTheme="minorEastAsia" w:hAnsiTheme="minorEastAsia" w:eastAsiaTheme="minorEastAsia"/>
                <w:sz w:val="21"/>
                <w:szCs w:val="21"/>
              </w:rPr>
              <w:t>监查计划</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27</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试验启动监查报告</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28</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研究人员声明</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bl>
    <w:p>
      <w:pPr>
        <w:rPr>
          <w:rFonts w:ascii="Arial" w:hAnsi="Arial" w:cs="Arial" w:eastAsiaTheme="minorEastAsia"/>
          <w:sz w:val="28"/>
          <w:szCs w:val="28"/>
        </w:rPr>
      </w:pPr>
      <w:bookmarkStart w:id="2" w:name="_Toc443995499"/>
      <w:bookmarkStart w:id="3" w:name="_Toc452726134"/>
      <w:bookmarkStart w:id="4" w:name="_Toc441830753"/>
      <w:bookmarkStart w:id="5" w:name="_Toc443995842"/>
      <w:bookmarkStart w:id="6" w:name="_Toc454451373"/>
      <w:r>
        <w:rPr>
          <w:rFonts w:hint="eastAsia" w:cs="Arial" w:asciiTheme="minorEastAsia" w:hAnsiTheme="minorEastAsia" w:eastAsiaTheme="minorEastAsia"/>
          <w:sz w:val="21"/>
          <w:szCs w:val="21"/>
        </w:rPr>
        <w:t>备注*：质量检查结果在对应空格内打“√”，特殊情况备注栏注明。</w:t>
      </w:r>
      <w:r>
        <w:rPr>
          <w:rFonts w:ascii="黑体" w:hAnsi="黑体" w:eastAsia="黑体"/>
          <w:sz w:val="32"/>
          <w:szCs w:val="32"/>
        </w:rPr>
        <w:br w:type="page"/>
      </w:r>
      <w:r>
        <w:rPr>
          <w:rFonts w:hint="eastAsia" w:ascii="Arial" w:hAnsi="Arial" w:cs="Arial" w:eastAsiaTheme="minorEastAsia"/>
          <w:sz w:val="28"/>
          <w:szCs w:val="28"/>
        </w:rPr>
        <w:t>附表2 临床试验进行阶段</w:t>
      </w:r>
      <w:bookmarkEnd w:id="2"/>
      <w:bookmarkEnd w:id="3"/>
      <w:bookmarkEnd w:id="4"/>
      <w:bookmarkEnd w:id="5"/>
      <w:bookmarkEnd w:id="6"/>
    </w:p>
    <w:tbl>
      <w:tblPr>
        <w:tblStyle w:val="8"/>
        <w:tblW w:w="84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0"/>
        <w:gridCol w:w="3597"/>
        <w:gridCol w:w="720"/>
        <w:gridCol w:w="653"/>
        <w:gridCol w:w="987"/>
        <w:gridCol w:w="18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640" w:type="dxa"/>
            <w:vMerge w:val="restart"/>
            <w:tcBorders>
              <w:top w:val="single" w:color="auto" w:sz="4" w:space="0"/>
              <w:left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序号</w:t>
            </w:r>
          </w:p>
        </w:tc>
        <w:tc>
          <w:tcPr>
            <w:tcW w:w="3597" w:type="dxa"/>
            <w:vMerge w:val="restart"/>
            <w:tcBorders>
              <w:top w:val="single" w:color="auto" w:sz="4" w:space="0"/>
              <w:left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必备文件</w:t>
            </w:r>
          </w:p>
        </w:tc>
        <w:tc>
          <w:tcPr>
            <w:tcW w:w="2360" w:type="dxa"/>
            <w:gridSpan w:val="3"/>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质量检查结果*</w:t>
            </w:r>
          </w:p>
        </w:tc>
        <w:tc>
          <w:tcPr>
            <w:tcW w:w="1839" w:type="dxa"/>
            <w:vMerge w:val="restart"/>
            <w:tcBorders>
              <w:top w:val="single" w:color="auto" w:sz="4" w:space="0"/>
              <w:left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640" w:type="dxa"/>
            <w:vMerge w:val="continue"/>
            <w:tcBorders>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asciiTheme="minorEastAsia" w:hAnsiTheme="minorEastAsia" w:eastAsiaTheme="minorEastAsia"/>
                <w:sz w:val="21"/>
                <w:szCs w:val="21"/>
              </w:rPr>
            </w:pPr>
          </w:p>
        </w:tc>
        <w:tc>
          <w:tcPr>
            <w:tcW w:w="3597" w:type="dxa"/>
            <w:vMerge w:val="continue"/>
            <w:tcBorders>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asciiTheme="minorEastAsia" w:hAnsiTheme="minorEastAsia" w:eastAsiaTheme="minorEastAsia"/>
                <w:sz w:val="21"/>
                <w:szCs w:val="21"/>
              </w:rPr>
            </w:pP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有</w:t>
            </w: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无</w:t>
            </w: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不适用</w:t>
            </w:r>
          </w:p>
        </w:tc>
        <w:tc>
          <w:tcPr>
            <w:tcW w:w="1839" w:type="dxa"/>
            <w:vMerge w:val="continue"/>
            <w:tcBorders>
              <w:left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1</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更新的研究者手册（注明版本号和版本日期）</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2</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对下列内容的任何更改：</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—试验方案及其修订版，病例报告表</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—知情同意书</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—其他提供给受试者的任何书面资料</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—受试者招募广告（若使用）（保存原件）</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3</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cs="Arial" w:asciiTheme="minorEastAsia" w:hAnsiTheme="minorEastAsia" w:eastAsiaTheme="minorEastAsia"/>
                <w:sz w:val="21"/>
                <w:szCs w:val="21"/>
              </w:rPr>
              <w:t>试验医疗器械</w:t>
            </w:r>
            <w:r>
              <w:rPr>
                <w:rFonts w:hint="eastAsia" w:cs="Arial" w:asciiTheme="minorEastAsia" w:hAnsiTheme="minorEastAsia" w:eastAsiaTheme="minorEastAsia"/>
                <w:sz w:val="21"/>
                <w:szCs w:val="21"/>
              </w:rPr>
              <w:t>产品检验</w:t>
            </w:r>
            <w:r>
              <w:rPr>
                <w:rFonts w:cs="Arial" w:asciiTheme="minorEastAsia" w:hAnsiTheme="minorEastAsia" w:eastAsiaTheme="minorEastAsia"/>
                <w:sz w:val="21"/>
                <w:szCs w:val="21"/>
              </w:rPr>
              <w:t>报告的更新（若有）</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4</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伦理委员会对以下各项内容的书面审查、同意文件，具签名、注明日期</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—试验方案修改</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—下列文件修订本</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—知情同意书</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—其他提供给受试者的任何书面资料</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—受试者招募广告（若使用）</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—伦理委员会任何其他审查，同意的文件</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—对临床试验的跟踪审查（必要时）</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5</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药品监督管理部门对试验方案修改及其他文件的许可、备案（如有）</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6</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研究者更新的履历和其他的资格文件</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经授权参与临床试验的医生、护士、药师等研究人员更新的履历和其他资质证明</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7</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更新的研究者授权分工表（新增研究者时）</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8</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临床试验新增研究者培训记录表</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9</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更新的医学、实验室、专业技术操作和相关检测的参考值和参考值范围</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10</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更新的医学、实验室、专业技术操作和相关检测的资质证明</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（资质认可证书或者资质认证证书或者已建立质量控制体系或者外部质量评价体系或者其他验证体系）</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11</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cs="Arial" w:asciiTheme="minorEastAsia" w:hAnsiTheme="minorEastAsia" w:eastAsiaTheme="minorEastAsia"/>
                <w:sz w:val="21"/>
                <w:szCs w:val="21"/>
              </w:rPr>
              <w:t>试验医疗器械与试验相关物资的交接单（若有）</w:t>
            </w:r>
          </w:p>
        </w:tc>
        <w:tc>
          <w:tcPr>
            <w:tcW w:w="720" w:type="dxa"/>
            <w:tcBorders>
              <w:top w:val="single" w:color="auto" w:sz="4" w:space="0"/>
              <w:left w:val="single" w:color="auto" w:sz="4" w:space="0"/>
              <w:bottom w:val="single" w:color="auto" w:sz="4" w:space="0"/>
              <w:right w:val="single" w:color="auto" w:sz="4" w:space="0"/>
            </w:tcBorders>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12</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新批号试验医疗器械/试剂的检验报告</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13</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现场访视之外的相关通讯、联络记录</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—往来信件</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—会议记录</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—电话记录</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14</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签署的知情同意书</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15</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原始医疗文件</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16</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已签署研究者姓名、记录日期和填写完整的病例报告表</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17</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病例报告表修改记录</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18</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cs="Arial" w:asciiTheme="minorEastAsia" w:hAnsiTheme="minorEastAsia" w:eastAsiaTheme="minorEastAsia"/>
                <w:sz w:val="21"/>
                <w:szCs w:val="21"/>
              </w:rPr>
              <w:t>研究者对严重不良事件的报告（若有）</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—报告申办者</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—报告临床试验机构</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—报告伦理委员会</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19</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申办者对试验医疗器械相关</w:t>
            </w:r>
            <w:r>
              <w:rPr>
                <w:rFonts w:cs="Arial" w:asciiTheme="minorEastAsia" w:hAnsiTheme="minorEastAsia" w:eastAsiaTheme="minorEastAsia"/>
                <w:sz w:val="21"/>
                <w:szCs w:val="21"/>
              </w:rPr>
              <w:t>严重不良事件的报告（若有）</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—申办者与发生机构所在地监管部门的报告</w:t>
            </w:r>
          </w:p>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—其他中心发生SAE的报告</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20</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其他严重安全性风险信息的报告</w:t>
            </w:r>
            <w:r>
              <w:rPr>
                <w:rFonts w:cs="Arial" w:asciiTheme="minorEastAsia" w:hAnsiTheme="minorEastAsia" w:eastAsiaTheme="minorEastAsia"/>
                <w:sz w:val="21"/>
                <w:szCs w:val="21"/>
              </w:rPr>
              <w:t>（若有）</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21</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受试者筛选/入选表</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22</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受试者鉴认代码表</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23</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样本信息表</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24</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cs="Arial" w:asciiTheme="minorEastAsia" w:hAnsiTheme="minorEastAsia" w:eastAsiaTheme="minorEastAsia"/>
                <w:sz w:val="21"/>
                <w:szCs w:val="21"/>
              </w:rPr>
              <w:t>监查员监查报告</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25</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临床试验质量检查相关记录表/反馈表</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bl>
    <w:p>
      <w:pPr>
        <w:rPr>
          <w:rFonts w:ascii="Arial" w:hAnsi="Arial" w:cs="Arial" w:eastAsiaTheme="minorEastAsia"/>
          <w:sz w:val="28"/>
          <w:szCs w:val="28"/>
        </w:rPr>
      </w:pPr>
      <w:bookmarkStart w:id="7" w:name="_Toc443995500"/>
      <w:bookmarkStart w:id="8" w:name="_Toc452726135"/>
      <w:bookmarkStart w:id="9" w:name="_Toc454451374"/>
      <w:bookmarkStart w:id="10" w:name="_Toc441830754"/>
      <w:bookmarkStart w:id="11" w:name="_Toc443995843"/>
      <w:r>
        <w:rPr>
          <w:rFonts w:hint="eastAsia" w:cs="Arial" w:asciiTheme="minorEastAsia" w:hAnsiTheme="minorEastAsia" w:eastAsiaTheme="minorEastAsia"/>
          <w:sz w:val="21"/>
          <w:szCs w:val="21"/>
        </w:rPr>
        <w:t>备注*：质量检查结果在对应空格内打“√”，特殊情况备注栏注明。</w:t>
      </w:r>
      <w:r>
        <w:rPr>
          <w:rFonts w:ascii="黑体" w:hAnsi="黑体" w:eastAsia="黑体"/>
          <w:sz w:val="32"/>
          <w:szCs w:val="32"/>
        </w:rPr>
        <w:br w:type="page"/>
      </w:r>
      <w:r>
        <w:rPr>
          <w:rFonts w:hint="eastAsia" w:ascii="Arial" w:hAnsi="Arial" w:cs="Arial" w:eastAsiaTheme="minorEastAsia"/>
          <w:sz w:val="28"/>
          <w:szCs w:val="28"/>
        </w:rPr>
        <w:t>附表3 临床试验完成后</w:t>
      </w:r>
      <w:bookmarkEnd w:id="7"/>
      <w:bookmarkEnd w:id="8"/>
      <w:bookmarkEnd w:id="9"/>
      <w:bookmarkEnd w:id="10"/>
      <w:bookmarkEnd w:id="11"/>
    </w:p>
    <w:tbl>
      <w:tblPr>
        <w:tblStyle w:val="8"/>
        <w:tblW w:w="84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0"/>
        <w:gridCol w:w="3597"/>
        <w:gridCol w:w="720"/>
        <w:gridCol w:w="653"/>
        <w:gridCol w:w="987"/>
        <w:gridCol w:w="18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640" w:type="dxa"/>
            <w:vMerge w:val="restart"/>
            <w:tcBorders>
              <w:top w:val="single" w:color="auto" w:sz="4" w:space="0"/>
              <w:left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序号</w:t>
            </w:r>
          </w:p>
        </w:tc>
        <w:tc>
          <w:tcPr>
            <w:tcW w:w="3597" w:type="dxa"/>
            <w:vMerge w:val="restart"/>
            <w:tcBorders>
              <w:top w:val="single" w:color="auto" w:sz="4" w:space="0"/>
              <w:left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必备文件</w:t>
            </w:r>
          </w:p>
        </w:tc>
        <w:tc>
          <w:tcPr>
            <w:tcW w:w="2360" w:type="dxa"/>
            <w:gridSpan w:val="3"/>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质量检查结果*</w:t>
            </w:r>
          </w:p>
        </w:tc>
        <w:tc>
          <w:tcPr>
            <w:tcW w:w="1839" w:type="dxa"/>
            <w:vMerge w:val="restart"/>
            <w:tcBorders>
              <w:top w:val="single" w:color="auto" w:sz="4" w:space="0"/>
              <w:left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640" w:type="dxa"/>
            <w:vMerge w:val="continue"/>
            <w:tcBorders>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asciiTheme="minorEastAsia" w:hAnsiTheme="minorEastAsia" w:eastAsiaTheme="minorEastAsia"/>
                <w:sz w:val="21"/>
                <w:szCs w:val="21"/>
              </w:rPr>
            </w:pPr>
          </w:p>
        </w:tc>
        <w:tc>
          <w:tcPr>
            <w:tcW w:w="3597" w:type="dxa"/>
            <w:vMerge w:val="continue"/>
            <w:tcBorders>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asciiTheme="minorEastAsia" w:hAnsiTheme="minorEastAsia" w:eastAsiaTheme="minorEastAsia"/>
                <w:sz w:val="21"/>
                <w:szCs w:val="21"/>
              </w:rPr>
            </w:pP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有</w:t>
            </w: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无</w:t>
            </w: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不适用</w:t>
            </w:r>
          </w:p>
        </w:tc>
        <w:tc>
          <w:tcPr>
            <w:tcW w:w="1839" w:type="dxa"/>
            <w:vMerge w:val="continue"/>
            <w:tcBorders>
              <w:left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1</w:t>
            </w:r>
          </w:p>
        </w:tc>
        <w:tc>
          <w:tcPr>
            <w:tcW w:w="3597" w:type="dxa"/>
            <w:tcBorders>
              <w:top w:val="single" w:color="auto" w:sz="4" w:space="0"/>
              <w:left w:val="single" w:color="auto" w:sz="4" w:space="0"/>
              <w:bottom w:val="single" w:color="auto" w:sz="4" w:space="0"/>
              <w:right w:val="single" w:color="auto" w:sz="4" w:space="0"/>
            </w:tcBorders>
            <w:vAlign w:val="center"/>
          </w:tcPr>
          <w:p>
            <w:pPr>
              <w:spacing w:before="50" w:after="50" w:line="300" w:lineRule="exact"/>
              <w:rPr>
                <w:rFonts w:cs="Arial" w:asciiTheme="minorEastAsia" w:hAnsiTheme="minorEastAsia" w:eastAsiaTheme="minorEastAsia"/>
                <w:sz w:val="21"/>
                <w:szCs w:val="21"/>
              </w:rPr>
            </w:pPr>
            <w:r>
              <w:rPr>
                <w:rFonts w:cs="Arial" w:asciiTheme="minorEastAsia" w:hAnsiTheme="minorEastAsia" w:eastAsiaTheme="minorEastAsia"/>
                <w:sz w:val="21"/>
                <w:szCs w:val="21"/>
              </w:rPr>
              <w:t>试验</w:t>
            </w:r>
            <w:r>
              <w:rPr>
                <w:rFonts w:hint="eastAsia" w:cs="Arial" w:asciiTheme="minorEastAsia" w:hAnsiTheme="minorEastAsia" w:eastAsiaTheme="minorEastAsia"/>
                <w:sz w:val="21"/>
                <w:szCs w:val="21"/>
              </w:rPr>
              <w:t>医疗器械储存、</w:t>
            </w:r>
            <w:r>
              <w:rPr>
                <w:rFonts w:cs="Arial" w:asciiTheme="minorEastAsia" w:hAnsiTheme="minorEastAsia" w:eastAsiaTheme="minorEastAsia"/>
                <w:sz w:val="21"/>
                <w:szCs w:val="21"/>
              </w:rPr>
              <w:t>使用</w:t>
            </w:r>
            <w:r>
              <w:rPr>
                <w:rFonts w:hint="eastAsia" w:cs="Arial" w:asciiTheme="minorEastAsia" w:hAnsiTheme="minorEastAsia" w:eastAsiaTheme="minorEastAsia"/>
                <w:sz w:val="21"/>
                <w:szCs w:val="21"/>
              </w:rPr>
              <w:t>、维护、保养、销毁、回收等</w:t>
            </w:r>
            <w:r>
              <w:rPr>
                <w:rFonts w:cs="Arial" w:asciiTheme="minorEastAsia" w:hAnsiTheme="minorEastAsia" w:eastAsiaTheme="minorEastAsia"/>
                <w:sz w:val="21"/>
                <w:szCs w:val="21"/>
              </w:rPr>
              <w:t>记录</w:t>
            </w:r>
            <w:r>
              <w:rPr>
                <w:rFonts w:hint="eastAsia" w:cs="Arial" w:asciiTheme="minorEastAsia" w:hAnsiTheme="minorEastAsia" w:eastAsiaTheme="minorEastAsia"/>
                <w:sz w:val="21"/>
                <w:szCs w:val="21"/>
              </w:rPr>
              <w:t>（若有）</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2</w:t>
            </w:r>
          </w:p>
        </w:tc>
        <w:tc>
          <w:tcPr>
            <w:tcW w:w="3597" w:type="dxa"/>
            <w:tcBorders>
              <w:top w:val="single" w:color="auto" w:sz="4" w:space="0"/>
              <w:left w:val="single" w:color="auto" w:sz="4" w:space="0"/>
              <w:bottom w:val="single" w:color="auto" w:sz="4" w:space="0"/>
              <w:right w:val="single" w:color="auto" w:sz="4" w:space="0"/>
            </w:tcBorders>
            <w:vAlign w:val="center"/>
          </w:tcPr>
          <w:p>
            <w:pPr>
              <w:spacing w:before="50" w:after="50" w:line="300" w:lineRule="exact"/>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生物</w:t>
            </w:r>
            <w:r>
              <w:rPr>
                <w:rFonts w:cs="Arial" w:asciiTheme="minorEastAsia" w:hAnsiTheme="minorEastAsia" w:eastAsiaTheme="minorEastAsia"/>
                <w:sz w:val="21"/>
                <w:szCs w:val="21"/>
              </w:rPr>
              <w:t>样本</w:t>
            </w:r>
            <w:r>
              <w:rPr>
                <w:rFonts w:hint="eastAsia" w:cs="Arial" w:asciiTheme="minorEastAsia" w:hAnsiTheme="minorEastAsia" w:eastAsiaTheme="minorEastAsia"/>
                <w:sz w:val="21"/>
                <w:szCs w:val="21"/>
              </w:rPr>
              <w:t>采集、处理、使用、保存、运输、销毁</w:t>
            </w:r>
            <w:r>
              <w:rPr>
                <w:rFonts w:cs="Arial" w:asciiTheme="minorEastAsia" w:hAnsiTheme="minorEastAsia" w:eastAsiaTheme="minorEastAsia"/>
                <w:sz w:val="21"/>
                <w:szCs w:val="21"/>
              </w:rPr>
              <w:t>等各环节的完整记录（</w:t>
            </w:r>
            <w:r>
              <w:rPr>
                <w:rFonts w:hint="eastAsia" w:cs="Arial" w:asciiTheme="minorEastAsia" w:hAnsiTheme="minorEastAsia" w:eastAsiaTheme="minorEastAsia"/>
                <w:sz w:val="21"/>
                <w:szCs w:val="21"/>
              </w:rPr>
              <w:t>若有</w:t>
            </w:r>
            <w:r>
              <w:rPr>
                <w:rFonts w:cs="Arial" w:asciiTheme="minorEastAsia" w:hAnsiTheme="minorEastAsia" w:eastAsiaTheme="minorEastAsia"/>
                <w:sz w:val="21"/>
                <w:szCs w:val="21"/>
              </w:rPr>
              <w:t>）</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3</w:t>
            </w:r>
          </w:p>
        </w:tc>
        <w:tc>
          <w:tcPr>
            <w:tcW w:w="3597" w:type="dxa"/>
            <w:tcBorders>
              <w:top w:val="single" w:color="auto" w:sz="4" w:space="0"/>
              <w:left w:val="single" w:color="auto" w:sz="4" w:space="0"/>
              <w:bottom w:val="single" w:color="auto" w:sz="4" w:space="0"/>
              <w:right w:val="single" w:color="auto" w:sz="4" w:space="0"/>
            </w:tcBorders>
            <w:vAlign w:val="center"/>
          </w:tcPr>
          <w:p>
            <w:pPr>
              <w:spacing w:before="50" w:after="50" w:line="300" w:lineRule="exact"/>
              <w:rPr>
                <w:rFonts w:cs="Arial" w:asciiTheme="minorEastAsia" w:hAnsiTheme="minorEastAsia" w:eastAsiaTheme="minorEastAsia"/>
                <w:sz w:val="21"/>
                <w:szCs w:val="21"/>
              </w:rPr>
            </w:pPr>
            <w:r>
              <w:rPr>
                <w:rFonts w:cs="Arial" w:asciiTheme="minorEastAsia" w:hAnsiTheme="minorEastAsia" w:eastAsiaTheme="minorEastAsia"/>
                <w:sz w:val="21"/>
                <w:szCs w:val="21"/>
              </w:rPr>
              <w:t>所有检测试验结果原始记录（</w:t>
            </w:r>
            <w:r>
              <w:rPr>
                <w:rFonts w:hint="eastAsia" w:cs="Arial" w:asciiTheme="minorEastAsia" w:hAnsiTheme="minorEastAsia" w:eastAsiaTheme="minorEastAsia"/>
                <w:sz w:val="21"/>
                <w:szCs w:val="21"/>
              </w:rPr>
              <w:t>若有</w:t>
            </w:r>
            <w:r>
              <w:rPr>
                <w:rFonts w:cs="Arial" w:asciiTheme="minorEastAsia" w:hAnsiTheme="minorEastAsia" w:eastAsiaTheme="minorEastAsia"/>
                <w:sz w:val="21"/>
                <w:szCs w:val="21"/>
              </w:rPr>
              <w:t>）</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4</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cs="Arial" w:asciiTheme="minorEastAsia" w:hAnsiTheme="minorEastAsia" w:eastAsiaTheme="minorEastAsia"/>
                <w:sz w:val="21"/>
                <w:szCs w:val="21"/>
              </w:rPr>
              <w:t>最终监查报告</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5</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稽查证明（若有）</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6</w:t>
            </w:r>
          </w:p>
        </w:tc>
        <w:tc>
          <w:tcPr>
            <w:tcW w:w="3597" w:type="dxa"/>
            <w:tcBorders>
              <w:top w:val="single" w:color="auto" w:sz="4" w:space="0"/>
              <w:left w:val="single" w:color="auto" w:sz="4" w:space="0"/>
              <w:bottom w:val="single" w:color="auto" w:sz="4" w:space="0"/>
              <w:right w:val="single" w:color="auto" w:sz="4" w:space="0"/>
            </w:tcBorders>
            <w:vAlign w:val="center"/>
          </w:tcPr>
          <w:p>
            <w:pPr>
              <w:spacing w:before="50" w:after="50" w:line="300" w:lineRule="exact"/>
              <w:rPr>
                <w:rFonts w:cs="Arial" w:asciiTheme="minorEastAsia" w:hAnsiTheme="minorEastAsia" w:eastAsiaTheme="minorEastAsia"/>
                <w:sz w:val="21"/>
                <w:szCs w:val="21"/>
              </w:rPr>
            </w:pPr>
            <w:r>
              <w:rPr>
                <w:rFonts w:cs="Arial" w:asciiTheme="minorEastAsia" w:hAnsiTheme="minorEastAsia" w:eastAsiaTheme="minorEastAsia"/>
                <w:sz w:val="21"/>
                <w:szCs w:val="21"/>
              </w:rPr>
              <w:t>治疗分配记录（若有）</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7</w:t>
            </w:r>
          </w:p>
        </w:tc>
        <w:tc>
          <w:tcPr>
            <w:tcW w:w="3597" w:type="dxa"/>
            <w:tcBorders>
              <w:top w:val="single" w:color="auto" w:sz="4" w:space="0"/>
              <w:left w:val="single" w:color="auto" w:sz="4" w:space="0"/>
              <w:bottom w:val="single" w:color="auto" w:sz="4" w:space="0"/>
              <w:right w:val="single" w:color="auto" w:sz="4" w:space="0"/>
            </w:tcBorders>
            <w:vAlign w:val="center"/>
          </w:tcPr>
          <w:p>
            <w:pPr>
              <w:spacing w:before="50" w:after="50" w:line="300" w:lineRule="exact"/>
              <w:rPr>
                <w:rFonts w:cs="Arial" w:asciiTheme="minorEastAsia" w:hAnsiTheme="minorEastAsia" w:eastAsiaTheme="minorEastAsia"/>
                <w:sz w:val="21"/>
                <w:szCs w:val="21"/>
              </w:rPr>
            </w:pPr>
            <w:r>
              <w:rPr>
                <w:rFonts w:cs="Arial" w:asciiTheme="minorEastAsia" w:hAnsiTheme="minorEastAsia" w:eastAsiaTheme="minorEastAsia"/>
                <w:sz w:val="21"/>
                <w:szCs w:val="21"/>
              </w:rPr>
              <w:t>破盲证明（若有）</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8</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研究者向伦理委员会提交的试验完成文件（原件）</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9</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临床试验结题签认表</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10</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分中心小结表</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11</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ascii="Arial" w:hAnsi="Arial" w:cs="Arial" w:eastAsiaTheme="minorEastAsia"/>
                <w:sz w:val="21"/>
                <w:szCs w:val="21"/>
              </w:rPr>
              <w:t>临床试验归档登记表</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12</w:t>
            </w:r>
          </w:p>
        </w:tc>
        <w:tc>
          <w:tcPr>
            <w:tcW w:w="359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rPr>
                <w:rFonts w:ascii="Arial" w:hAnsi="Arial" w:cs="Arial" w:eastAsiaTheme="minorEastAsia"/>
                <w:sz w:val="21"/>
                <w:szCs w:val="21"/>
              </w:rPr>
            </w:pPr>
            <w:r>
              <w:rPr>
                <w:rFonts w:hint="eastAsia" w:ascii="Arial" w:hAnsi="Arial" w:eastAsia="宋体" w:cs="Arial"/>
                <w:sz w:val="21"/>
                <w:szCs w:val="21"/>
              </w:rPr>
              <w:t>分中心临床试验小结</w:t>
            </w:r>
            <w:r>
              <w:rPr>
                <w:rFonts w:hint="eastAsia" w:ascii="Arial" w:hAnsi="Arial" w:cs="Arial" w:eastAsiaTheme="minorEastAsia"/>
                <w:sz w:val="21"/>
                <w:szCs w:val="21"/>
              </w:rPr>
              <w:t>/分中心报告（原件）</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13</w:t>
            </w:r>
          </w:p>
        </w:tc>
        <w:tc>
          <w:tcPr>
            <w:tcW w:w="3597" w:type="dxa"/>
            <w:tcBorders>
              <w:top w:val="single" w:color="auto" w:sz="4" w:space="0"/>
              <w:left w:val="single" w:color="auto" w:sz="4" w:space="0"/>
              <w:bottom w:val="single" w:color="auto" w:sz="4" w:space="0"/>
              <w:right w:val="single" w:color="auto" w:sz="4" w:space="0"/>
            </w:tcBorders>
            <w:vAlign w:val="center"/>
          </w:tcPr>
          <w:p>
            <w:pPr>
              <w:spacing w:before="50" w:after="50" w:line="300" w:lineRule="exact"/>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临床试验报告（组长单位保存原件）</w:t>
            </w:r>
          </w:p>
        </w:tc>
        <w:tc>
          <w:tcPr>
            <w:tcW w:w="720"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987"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c>
          <w:tcPr>
            <w:tcW w:w="1839" w:type="dxa"/>
            <w:tcBorders>
              <w:top w:val="single" w:color="auto" w:sz="4" w:space="0"/>
              <w:left w:val="single" w:color="auto" w:sz="4" w:space="0"/>
              <w:bottom w:val="single" w:color="auto" w:sz="4" w:space="0"/>
              <w:right w:val="single" w:color="auto" w:sz="4" w:space="0"/>
            </w:tcBorders>
            <w:vAlign w:val="center"/>
          </w:tcPr>
          <w:p>
            <w:pPr>
              <w:widowControl w:val="0"/>
              <w:tabs>
                <w:tab w:val="left" w:pos="8280"/>
              </w:tabs>
              <w:adjustRightInd/>
              <w:snapToGrid/>
              <w:spacing w:after="0" w:line="300" w:lineRule="exact"/>
              <w:ind w:right="-9" w:rightChars="-4"/>
              <w:jc w:val="center"/>
              <w:rPr>
                <w:rFonts w:cs="Arial" w:asciiTheme="minorEastAsia" w:hAnsiTheme="minorEastAsia" w:eastAsiaTheme="minorEastAsia"/>
                <w:sz w:val="21"/>
                <w:szCs w:val="21"/>
              </w:rPr>
            </w:pPr>
          </w:p>
        </w:tc>
      </w:tr>
    </w:tbl>
    <w:p>
      <w:pPr>
        <w:widowControl w:val="0"/>
        <w:tabs>
          <w:tab w:val="left" w:pos="8280"/>
        </w:tabs>
        <w:adjustRightInd/>
        <w:snapToGrid/>
        <w:spacing w:after="0" w:line="300" w:lineRule="exact"/>
        <w:ind w:right="-9" w:rightChars="-4"/>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备注*：质量检查结果在对应空格内打“√”，特殊情况备注栏注明。</w:t>
      </w: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after="0"/>
      <w:rPr>
        <w:rFonts w:ascii="Arial" w:hAnsi="Arial" w:cs="Arial" w:eastAsiaTheme="minorEastAsia"/>
        <w:bCs/>
        <w:szCs w:val="18"/>
      </w:rPr>
    </w:pPr>
    <w:r>
      <w:rPr>
        <w:rFonts w:hint="eastAsia" w:ascii="Arial" w:hAnsi="Arial" w:cs="Arial" w:eastAsiaTheme="minorEastAsia"/>
        <w:bCs/>
        <w:szCs w:val="18"/>
      </w:rPr>
      <w:t>生效日期：2023-4-3</w:t>
    </w:r>
  </w:p>
  <w:p>
    <w:pPr>
      <w:pStyle w:val="4"/>
      <w:spacing w:after="0"/>
      <w:rPr>
        <w:szCs w:val="18"/>
      </w:rPr>
    </w:pPr>
    <w:r>
      <w:rPr>
        <w:rFonts w:hint="eastAsia" w:ascii="Arial" w:hAnsi="Arial" w:cs="Arial" w:eastAsiaTheme="minorEastAsia"/>
        <w:bCs/>
        <w:szCs w:val="18"/>
      </w:rPr>
      <w:t>Related to:</w:t>
    </w:r>
    <w:r>
      <w:rPr>
        <w:szCs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v:textbox>
            </v:shape>
          </w:pict>
        </mc:Fallback>
      </mc:AlternateContent>
    </w:r>
    <w:r>
      <w:rPr>
        <w:szCs w:val="18"/>
      </w:rPr>
      <mc:AlternateContent>
        <mc:Choice Requires="wps">
          <w:drawing>
            <wp:anchor distT="0" distB="0" distL="114300" distR="114300" simplePos="0" relativeHeight="251659264" behindDoc="0" locked="0" layoutInCell="1" allowOverlap="1">
              <wp:simplePos x="0" y="0"/>
              <wp:positionH relativeFrom="page">
                <wp:posOffset>1143000</wp:posOffset>
              </wp:positionH>
              <wp:positionV relativeFrom="page">
                <wp:posOffset>9777730</wp:posOffset>
              </wp:positionV>
              <wp:extent cx="5314950" cy="0"/>
              <wp:effectExtent l="0" t="0" r="0" b="0"/>
              <wp:wrapNone/>
              <wp:docPr id="8" name="直接连接符 8"/>
              <wp:cNvGraphicFramePr/>
              <a:graphic xmlns:a="http://schemas.openxmlformats.org/drawingml/2006/main">
                <a:graphicData uri="http://schemas.microsoft.com/office/word/2010/wordprocessingShape">
                  <wps:wsp>
                    <wps:cNvCnPr/>
                    <wps:spPr>
                      <a:xfrm>
                        <a:off x="0" y="0"/>
                        <a:ext cx="5314950" cy="0"/>
                      </a:xfrm>
                      <a:prstGeom prst="line">
                        <a:avLst/>
                      </a:prstGeom>
                      <a:noFill/>
                      <a:ln w="9525" cap="flat" cmpd="sng" algn="ctr">
                        <a:solidFill>
                          <a:srgbClr val="000000"/>
                        </a:solidFill>
                        <a:prstDash val="solid"/>
                        <a:miter lim="800000"/>
                      </a:ln>
                      <a:effectLst/>
                    </wps:spPr>
                    <wps:bodyPr/>
                  </wps:wsp>
                </a:graphicData>
              </a:graphic>
              <wp14:sizeRelH relativeFrom="margin">
                <wp14:pctWidth>100000</wp14:pctWidth>
              </wp14:sizeRelH>
              <wp14:sizeRelV relativeFrom="page">
                <wp14:pctHeight>0</wp14:pctHeight>
              </wp14:sizeRelV>
            </wp:anchor>
          </w:drawing>
        </mc:Choice>
        <mc:Fallback>
          <w:pict>
            <v:line id="_x0000_s1026" o:spid="_x0000_s1026" o:spt="20" style="position:absolute;left:0pt;margin-left:90pt;margin-top:769.9pt;height:0pt;width:418.5pt;mso-position-horizontal-relative:page;mso-position-vertical-relative:page;z-index:251659264;mso-width-relative:margin;mso-height-relative:page;mso-width-percent:1000;" filled="f" stroked="t" coordsize="21600,21600" o:gfxdata="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MebGjDY&#10;AAAADgEAAA8AAAAAAAAAAQAgAAAAIgAAAGRycy9kb3ducmV2LnhtbFBLAQIUABQAAAAIAIdO4kAG&#10;ZF495wEAAL8DAAAOAAAAAAAAAAEAIAAAACcBAABkcnMvZTJvRG9jLnhtbFBLBQYAAAAABgAGAFkB&#10;AACABQAAAAA=&#10;">
              <v:fill on="f" focussize="0,0"/>
              <v:stroke color="#000000" miterlimit="8" joinstyle="miter"/>
              <v:imagedata o:title=""/>
              <o:lock v:ext="edit" aspectratio="f"/>
            </v:line>
          </w:pict>
        </mc:Fallback>
      </mc:AlternateContent>
    </w:r>
    <w:r>
      <w:rPr>
        <w:rFonts w:hint="eastAsia" w:ascii="Arial" w:hAnsi="Arial" w:cs="Arial" w:eastAsiaTheme="minorEastAsia"/>
        <w:bCs/>
        <w:szCs w:val="18"/>
      </w:rPr>
      <w:t xml:space="preserve"> </w:t>
    </w:r>
    <w:r>
      <w:rPr>
        <w:rFonts w:ascii="Arial" w:hAnsi="Arial" w:cs="Arial" w:eastAsiaTheme="minorEastAsia"/>
        <w:bCs/>
        <w:szCs w:val="18"/>
      </w:rPr>
      <w:t>GZXK-GCP-JGB-Y</w:t>
    </w:r>
    <w:r>
      <w:rPr>
        <w:rFonts w:hint="eastAsia" w:ascii="Arial" w:hAnsi="Arial" w:cs="Arial" w:eastAsiaTheme="minorEastAsia"/>
        <w:bCs/>
        <w:szCs w:val="18"/>
      </w:rPr>
      <w:t>LQX</w:t>
    </w:r>
    <w:r>
      <w:rPr>
        <w:rFonts w:ascii="Arial" w:hAnsi="Arial" w:cs="Arial" w:eastAsiaTheme="minorEastAsia"/>
        <w:bCs/>
        <w:szCs w:val="18"/>
      </w:rPr>
      <w:t>-SOP-0</w:t>
    </w:r>
    <w:r>
      <w:rPr>
        <w:rFonts w:hint="eastAsia" w:ascii="Arial" w:hAnsi="Arial" w:cs="Arial" w:eastAsiaTheme="minorEastAsia"/>
        <w:bCs/>
        <w:szCs w:val="18"/>
      </w:rPr>
      <w:t>17-</w:t>
    </w:r>
    <w:r>
      <w:rPr>
        <w:rFonts w:ascii="Arial" w:hAnsi="Arial" w:cs="Arial" w:eastAsiaTheme="minorEastAsia"/>
        <w:bCs/>
        <w:szCs w:val="18"/>
      </w:rPr>
      <w:t>R0</w:t>
    </w:r>
    <w:r>
      <w:rPr>
        <w:rFonts w:hint="eastAsia" w:ascii="Arial" w:hAnsi="Arial" w:cs="Arial" w:eastAsiaTheme="minorEastAsia"/>
        <w:bCs/>
        <w:szCs w:val="18"/>
      </w:rPr>
      <w:t>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p>
  </w:footnote>
  <w:footnote w:type="continuationSeparator" w:id="1">
    <w:p>
      <w:pPr>
        <w:spacing w:before="0"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dotted" w:color="auto" w:sz="4" w:space="1"/>
      </w:pBdr>
      <w:spacing w:after="0"/>
    </w:pPr>
    <w:r>
      <w:drawing>
        <wp:inline distT="0" distB="0" distL="114300" distR="114300">
          <wp:extent cx="1073150" cy="229235"/>
          <wp:effectExtent l="0" t="0" r="12700" b="1841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073150" cy="229235"/>
                  </a:xfrm>
                  <a:prstGeom prst="rect">
                    <a:avLst/>
                  </a:prstGeom>
                  <a:noFill/>
                  <a:ln>
                    <a:noFill/>
                  </a:ln>
                </pic:spPr>
              </pic:pic>
            </a:graphicData>
          </a:graphic>
        </wp:inline>
      </w:drawing>
    </w:r>
  </w:p>
  <w:p>
    <w:pPr>
      <w:pStyle w:val="5"/>
      <w:pBdr>
        <w:bottom w:val="dotted" w:color="auto" w:sz="4" w:space="1"/>
      </w:pBdr>
      <w:spacing w:after="0"/>
      <w:jc w:val="right"/>
      <w:rPr>
        <w:rFonts w:asciiTheme="majorEastAsia" w:hAnsiTheme="majorEastAsia" w:eastAsiaTheme="majorEastAsia" w:cstheme="majorEastAsia"/>
      </w:rPr>
    </w:pPr>
    <w:r>
      <w:rPr>
        <w:rFonts w:hint="eastAsia" w:asciiTheme="majorEastAsia" w:hAnsiTheme="majorEastAsia" w:eastAsiaTheme="majorEastAsia" w:cstheme="majorEastAsia"/>
      </w:rPr>
      <w:t>临床试验机构文件（机构办公室-</w:t>
    </w:r>
    <w:r>
      <w:rPr>
        <w:rFonts w:hint="eastAsia" w:asciiTheme="majorEastAsia" w:hAnsiTheme="majorEastAsia" w:eastAsiaTheme="majorEastAsia" w:cstheme="majorEastAsia"/>
        <w:i/>
        <w:iCs/>
        <w:u w:val="single"/>
      </w:rPr>
      <w:t>医疗器械</w:t>
    </w:r>
    <w:r>
      <w:rPr>
        <w:rFonts w:hint="eastAsia" w:asciiTheme="majorEastAsia" w:hAnsiTheme="majorEastAsia" w:eastAsiaTheme="majorEastAsia" w:cstheme="majorEastAsia"/>
      </w:rPr>
      <w:t>）</w:t>
    </w:r>
  </w:p>
  <w:p>
    <w:pPr>
      <w:pStyle w:val="5"/>
      <w:pBdr>
        <w:bottom w:val="dotted" w:color="auto" w:sz="4" w:space="1"/>
      </w:pBdr>
      <w:spacing w:after="0"/>
      <w:jc w:val="right"/>
      <w:rPr>
        <w:rFonts w:asciiTheme="majorEastAsia" w:hAnsiTheme="majorEastAsia" w:eastAsiaTheme="majorEastAsia" w:cstheme="majorEastAsia"/>
      </w:rPr>
    </w:pPr>
    <w:r>
      <w:rPr>
        <w:rFonts w:ascii="Arial" w:hAnsi="Arial" w:cs="Arial" w:eastAsiaTheme="minorEastAsia"/>
        <w:bCs/>
        <w:sz w:val="21"/>
        <w:szCs w:val="21"/>
      </w:rPr>
      <w:t>GZXK-GCP-JGB-Y</w:t>
    </w:r>
    <w:r>
      <w:rPr>
        <w:rFonts w:hint="eastAsia" w:ascii="Arial" w:hAnsi="Arial" w:cs="Arial" w:eastAsiaTheme="minorEastAsia"/>
        <w:bCs/>
        <w:sz w:val="21"/>
        <w:szCs w:val="21"/>
      </w:rPr>
      <w:t>LQX</w:t>
    </w:r>
    <w:r>
      <w:rPr>
        <w:rFonts w:ascii="Arial" w:hAnsi="Arial" w:cs="Arial" w:eastAsiaTheme="minorEastAsia"/>
        <w:bCs/>
        <w:sz w:val="21"/>
        <w:szCs w:val="21"/>
      </w:rPr>
      <w:t>-</w:t>
    </w:r>
    <w:r>
      <w:rPr>
        <w:rFonts w:hint="eastAsia" w:ascii="Arial" w:hAnsi="Arial" w:cs="Arial" w:eastAsiaTheme="minorEastAsia"/>
        <w:bCs/>
        <w:sz w:val="21"/>
        <w:szCs w:val="21"/>
      </w:rPr>
      <w:t>WSH</w:t>
    </w:r>
    <w:r>
      <w:rPr>
        <w:rFonts w:ascii="Arial" w:hAnsi="Arial" w:cs="Arial" w:eastAsiaTheme="minorEastAsia"/>
        <w:bCs/>
        <w:sz w:val="21"/>
        <w:szCs w:val="21"/>
      </w:rPr>
      <w:t>-0</w:t>
    </w:r>
    <w:r>
      <w:rPr>
        <w:rFonts w:hint="eastAsia" w:ascii="Arial" w:hAnsi="Arial" w:cs="Arial" w:eastAsiaTheme="minorEastAsia"/>
        <w:bCs/>
        <w:sz w:val="21"/>
        <w:szCs w:val="21"/>
      </w:rPr>
      <w:t>44</w:t>
    </w:r>
    <w:r>
      <w:rPr>
        <w:rFonts w:ascii="Arial" w:hAnsi="Arial" w:cs="Arial" w:eastAsiaTheme="minorEastAsia"/>
        <w:bCs/>
        <w:sz w:val="21"/>
        <w:szCs w:val="21"/>
      </w:rPr>
      <w:t>-R0</w:t>
    </w:r>
    <w:r>
      <w:rPr>
        <w:rFonts w:hint="eastAsia" w:ascii="Arial" w:hAnsi="Arial" w:cs="Arial" w:eastAsiaTheme="minorEastAsia"/>
        <w:bCs/>
        <w:sz w:val="21"/>
        <w:szCs w:val="21"/>
      </w:rPr>
      <w:t>1</w:t>
    </w:r>
  </w:p>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056CE1"/>
    <w:rsid w:val="00002D64"/>
    <w:rsid w:val="0001026F"/>
    <w:rsid w:val="0003519C"/>
    <w:rsid w:val="00065B9A"/>
    <w:rsid w:val="000673B0"/>
    <w:rsid w:val="001E6E11"/>
    <w:rsid w:val="00212670"/>
    <w:rsid w:val="00324805"/>
    <w:rsid w:val="003D0FA9"/>
    <w:rsid w:val="0043559F"/>
    <w:rsid w:val="00450086"/>
    <w:rsid w:val="00562034"/>
    <w:rsid w:val="00577B0B"/>
    <w:rsid w:val="005923F6"/>
    <w:rsid w:val="00592492"/>
    <w:rsid w:val="005B332A"/>
    <w:rsid w:val="00663E5C"/>
    <w:rsid w:val="006E0374"/>
    <w:rsid w:val="007D25BD"/>
    <w:rsid w:val="007D5BC9"/>
    <w:rsid w:val="008207DB"/>
    <w:rsid w:val="008D1D99"/>
    <w:rsid w:val="00955685"/>
    <w:rsid w:val="00993849"/>
    <w:rsid w:val="00A01837"/>
    <w:rsid w:val="00A373BD"/>
    <w:rsid w:val="00AA2A89"/>
    <w:rsid w:val="00AE0CD2"/>
    <w:rsid w:val="00B13462"/>
    <w:rsid w:val="00B20FBB"/>
    <w:rsid w:val="00B561BF"/>
    <w:rsid w:val="00BA5B6B"/>
    <w:rsid w:val="00D35522"/>
    <w:rsid w:val="00D517A8"/>
    <w:rsid w:val="00D9248F"/>
    <w:rsid w:val="00DD45D9"/>
    <w:rsid w:val="00E137DF"/>
    <w:rsid w:val="00E7325B"/>
    <w:rsid w:val="00F31E3F"/>
    <w:rsid w:val="00F333E9"/>
    <w:rsid w:val="00F424ED"/>
    <w:rsid w:val="00F651EC"/>
    <w:rsid w:val="00FD30EB"/>
    <w:rsid w:val="00FE1B57"/>
    <w:rsid w:val="00FE65B8"/>
    <w:rsid w:val="00FF1296"/>
    <w:rsid w:val="02A22556"/>
    <w:rsid w:val="05BF0FBD"/>
    <w:rsid w:val="07B11193"/>
    <w:rsid w:val="07EE5001"/>
    <w:rsid w:val="083508BF"/>
    <w:rsid w:val="08F913DA"/>
    <w:rsid w:val="0AED773A"/>
    <w:rsid w:val="0B204108"/>
    <w:rsid w:val="0C694D66"/>
    <w:rsid w:val="133932A2"/>
    <w:rsid w:val="146C5354"/>
    <w:rsid w:val="15160E9C"/>
    <w:rsid w:val="184470D9"/>
    <w:rsid w:val="1EFA35C7"/>
    <w:rsid w:val="23680D3B"/>
    <w:rsid w:val="2B190E2F"/>
    <w:rsid w:val="301279E2"/>
    <w:rsid w:val="3781745D"/>
    <w:rsid w:val="38BF77AD"/>
    <w:rsid w:val="3A1A2D7D"/>
    <w:rsid w:val="3B251081"/>
    <w:rsid w:val="40626FEA"/>
    <w:rsid w:val="4BBD146A"/>
    <w:rsid w:val="4E62423D"/>
    <w:rsid w:val="4FED7BAE"/>
    <w:rsid w:val="530D5228"/>
    <w:rsid w:val="55E715C3"/>
    <w:rsid w:val="560D7971"/>
    <w:rsid w:val="59690443"/>
    <w:rsid w:val="59DC0D14"/>
    <w:rsid w:val="64056CE1"/>
    <w:rsid w:val="649D763F"/>
    <w:rsid w:val="68C346D9"/>
    <w:rsid w:val="694C65C9"/>
    <w:rsid w:val="6A5C3C00"/>
    <w:rsid w:val="6AFD6A24"/>
    <w:rsid w:val="6C736677"/>
    <w:rsid w:val="6FED12C2"/>
    <w:rsid w:val="70E8709F"/>
    <w:rsid w:val="728D5402"/>
    <w:rsid w:val="73F80D1E"/>
    <w:rsid w:val="76C83CB2"/>
    <w:rsid w:val="7BDE597C"/>
    <w:rsid w:val="7E783E37"/>
    <w:rsid w:val="7F592E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lock Text"/>
    <w:basedOn w:val="1"/>
    <w:unhideWhenUsed/>
    <w:qFormat/>
    <w:uiPriority w:val="0"/>
    <w:pPr>
      <w:spacing w:line="260" w:lineRule="exact"/>
      <w:ind w:left="251" w:leftChars="-19" w:right="-42" w:rightChars="-20" w:hanging="291" w:hangingChars="153"/>
    </w:pPr>
    <w:rPr>
      <w:rFonts w:ascii="Times New Roman" w:hAnsi="Times New Roman" w:eastAsia="宋体" w:cs="Times New Roman"/>
      <w:sz w:val="19"/>
      <w:szCs w:val="24"/>
    </w:rPr>
  </w:style>
  <w:style w:type="paragraph" w:styleId="3">
    <w:name w:val="Balloon Text"/>
    <w:basedOn w:val="1"/>
    <w:link w:val="17"/>
    <w:uiPriority w:val="0"/>
    <w:pPr>
      <w:spacing w:after="0"/>
    </w:pPr>
    <w:rPr>
      <w:sz w:val="18"/>
      <w:szCs w:val="18"/>
    </w:rPr>
  </w:style>
  <w:style w:type="paragraph" w:styleId="4">
    <w:name w:val="footer"/>
    <w:basedOn w:val="1"/>
    <w:qFormat/>
    <w:uiPriority w:val="0"/>
    <w:pPr>
      <w:tabs>
        <w:tab w:val="center" w:pos="4153"/>
        <w:tab w:val="right" w:pos="8306"/>
      </w:tabs>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6">
    <w:name w:val="footnote text"/>
    <w:basedOn w:val="1"/>
    <w:qFormat/>
    <w:uiPriority w:val="0"/>
    <w:rPr>
      <w:sz w:val="18"/>
    </w:rPr>
  </w:style>
  <w:style w:type="paragraph" w:styleId="7">
    <w:name w:val="Normal (Web)"/>
    <w:basedOn w:val="1"/>
    <w:qFormat/>
    <w:uiPriority w:val="0"/>
    <w:pPr>
      <w:spacing w:beforeAutospacing="1" w:after="0" w:afterAutospacing="1"/>
    </w:pPr>
    <w:rPr>
      <w:rFonts w:cs="Times New Roman"/>
      <w:sz w:val="24"/>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styleId="12">
    <w:name w:val="footnote reference"/>
    <w:basedOn w:val="10"/>
    <w:qFormat/>
    <w:uiPriority w:val="0"/>
    <w:rPr>
      <w:vertAlign w:val="superscript"/>
    </w:rPr>
  </w:style>
  <w:style w:type="paragraph" w:styleId="13">
    <w:name w:val="List Paragraph"/>
    <w:basedOn w:val="1"/>
    <w:qFormat/>
    <w:uiPriority w:val="34"/>
    <w:pPr>
      <w:ind w:firstLine="420" w:firstLineChars="200"/>
    </w:pPr>
  </w:style>
  <w:style w:type="table" w:customStyle="1" w:styleId="14">
    <w:name w:val="Table Normal"/>
    <w:semiHidden/>
    <w:unhideWhenUsed/>
    <w:qFormat/>
    <w:uiPriority w:val="0"/>
    <w:tblPr>
      <w:tblCellMar>
        <w:top w:w="0" w:type="dxa"/>
        <w:left w:w="0" w:type="dxa"/>
        <w:bottom w:w="0" w:type="dxa"/>
        <w:right w:w="0" w:type="dxa"/>
      </w:tblCellMar>
    </w:tblPr>
  </w:style>
  <w:style w:type="character" w:customStyle="1" w:styleId="15">
    <w:name w:val="fontstyle21"/>
    <w:basedOn w:val="10"/>
    <w:qFormat/>
    <w:uiPriority w:val="0"/>
    <w:rPr>
      <w:rFonts w:ascii="宋体" w:hAnsi="宋体" w:eastAsia="宋体" w:cs="宋体"/>
      <w:color w:val="000000"/>
      <w:sz w:val="24"/>
      <w:szCs w:val="24"/>
    </w:rPr>
  </w:style>
  <w:style w:type="character" w:customStyle="1" w:styleId="16">
    <w:name w:val="fontstyle01"/>
    <w:basedOn w:val="10"/>
    <w:qFormat/>
    <w:uiPriority w:val="0"/>
    <w:rPr>
      <w:rFonts w:ascii="宋体" w:hAnsi="宋体" w:eastAsia="宋体" w:cs="宋体"/>
      <w:color w:val="000000"/>
      <w:sz w:val="24"/>
      <w:szCs w:val="24"/>
    </w:rPr>
  </w:style>
  <w:style w:type="character" w:customStyle="1" w:styleId="17">
    <w:name w:val="批注框文本 Char"/>
    <w:basedOn w:val="10"/>
    <w:link w:val="3"/>
    <w:uiPriority w:val="0"/>
    <w:rPr>
      <w:rFonts w:ascii="Tahoma" w:hAnsi="Tahoma" w:eastAsia="微软雅黑" w:cstheme="minorBidi"/>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GZXK</Company>
  <Pages>1</Pages>
  <Words>1425</Words>
  <Characters>1596</Characters>
  <Lines>319</Lines>
  <Paragraphs>201</Paragraphs>
  <TotalTime>0</TotalTime>
  <ScaleCrop>false</ScaleCrop>
  <LinksUpToDate>false</LinksUpToDate>
  <CharactersWithSpaces>2820</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2022-04-29T03:51:00Z</dcterms:created>
  <dc:creator>ZHOU MC</dc:creator>
  <cp:lastModifiedBy>gzxk</cp:lastModifiedBy>
  <cp:lastPrinted>2023-03-14T03:02:00Z</cp:lastPrinted>
  <dcterms:modified xsi:type="dcterms:W3CDTF">2023-05-25T07:03:35Z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4DA6D0FB67214D1A95A077F51BBB3655</vt:lpwstr>
  </property>
</Properties>
</file>